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Calibri" w:hAnsi="Calibri" w:cs="Calibri"/>
          <w:i w:val="0"/>
          <w:iCs w:val="0"/>
          <w:caps w:val="0"/>
          <w:color w:val="0C0C0C"/>
          <w:spacing w:val="0"/>
          <w:sz w:val="21"/>
          <w:szCs w:val="21"/>
        </w:rPr>
      </w:pPr>
      <w:r>
        <w:rPr>
          <w:rFonts w:ascii="仿宋_GB2312" w:hAnsi="Calibri" w:eastAsia="仿宋_GB2312" w:cs="仿宋_GB2312"/>
          <w:i w:val="0"/>
          <w:iCs w:val="0"/>
          <w:caps w:val="0"/>
          <w:color w:val="0C0C0C"/>
          <w:spacing w:val="0"/>
          <w:kern w:val="0"/>
          <w:sz w:val="32"/>
          <w:szCs w:val="32"/>
          <w:bdr w:val="none" w:color="auto" w:sz="0" w:space="0"/>
          <w:lang w:val="en-US" w:eastAsia="zh-CN" w:bidi="ar"/>
        </w:rPr>
        <w:t>为完善江西省高层次技术技能型人才培养体系，满足人民群众</w:t>
      </w: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上好大学”的殷切期盼，增强职业教育服务、支撑地方经济社会发展能力，根据《江西省高等职业院校与本科高校联合培养本科层次技术技能型人才实施方案》等文件精神，开展中药学、中医学、针灸推拿学、护理学、中药资源与开发等专业（专升本）学生联合培养，方案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Calibri" w:hAnsi="Calibri" w:cs="Calibri"/>
          <w:i w:val="0"/>
          <w:iCs w:val="0"/>
          <w:caps w:val="0"/>
          <w:color w:val="0C0C0C"/>
          <w:spacing w:val="0"/>
          <w:sz w:val="21"/>
          <w:szCs w:val="21"/>
        </w:rPr>
      </w:pPr>
      <w:r>
        <w:rPr>
          <w:rFonts w:ascii="黑体" w:hAnsi="宋体" w:eastAsia="黑体" w:cs="黑体"/>
          <w:i w:val="0"/>
          <w:iCs w:val="0"/>
          <w:caps w:val="0"/>
          <w:color w:val="0C0C0C"/>
          <w:spacing w:val="0"/>
          <w:kern w:val="0"/>
          <w:sz w:val="32"/>
          <w:szCs w:val="32"/>
          <w:bdr w:val="none" w:color="auto" w:sz="0" w:space="0"/>
          <w:lang w:val="en-US" w:eastAsia="zh-CN" w:bidi="ar"/>
        </w:rPr>
        <w:t>一、招生专业及培养院校</w:t>
      </w:r>
    </w:p>
    <w:tbl>
      <w:tblPr>
        <w:tblW w:w="7471"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70"/>
        <w:gridCol w:w="1698"/>
        <w:gridCol w:w="2268"/>
        <w:gridCol w:w="2835"/>
      </w:tblGrid>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67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ascii="Calibri" w:hAnsi="Calibri" w:cs="Calibri"/>
                <w:color w:val="0C0C0C"/>
                <w:sz w:val="21"/>
                <w:szCs w:val="21"/>
              </w:rPr>
            </w:pPr>
            <w:r>
              <w:rPr>
                <w:rStyle w:val="5"/>
                <w:rFonts w:ascii="仿宋" w:hAnsi="仿宋" w:eastAsia="仿宋" w:cs="仿宋"/>
                <w:b/>
                <w:bCs/>
                <w:i w:val="0"/>
                <w:iCs w:val="0"/>
                <w:caps w:val="0"/>
                <w:color w:val="0C0C0C"/>
                <w:spacing w:val="0"/>
                <w:kern w:val="0"/>
                <w:sz w:val="21"/>
                <w:szCs w:val="21"/>
                <w:bdr w:val="none" w:color="auto" w:sz="0" w:space="0"/>
                <w:lang w:val="en-US" w:eastAsia="zh-CN" w:bidi="ar"/>
              </w:rPr>
              <w:t>序号</w:t>
            </w:r>
          </w:p>
        </w:tc>
        <w:tc>
          <w:tcPr>
            <w:tcW w:w="169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Style w:val="5"/>
                <w:rFonts w:hint="eastAsia" w:ascii="仿宋" w:hAnsi="仿宋" w:eastAsia="仿宋" w:cs="仿宋"/>
                <w:b/>
                <w:bCs/>
                <w:i w:val="0"/>
                <w:iCs w:val="0"/>
                <w:caps w:val="0"/>
                <w:color w:val="0C0C0C"/>
                <w:spacing w:val="0"/>
                <w:kern w:val="0"/>
                <w:sz w:val="21"/>
                <w:szCs w:val="21"/>
                <w:bdr w:val="none" w:color="auto" w:sz="0" w:space="0"/>
                <w:lang w:val="en-US" w:eastAsia="zh-CN" w:bidi="ar"/>
              </w:rPr>
              <w:t>招生专业</w:t>
            </w:r>
          </w:p>
        </w:tc>
        <w:tc>
          <w:tcPr>
            <w:tcW w:w="226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Style w:val="5"/>
                <w:rFonts w:hint="eastAsia" w:ascii="仿宋" w:hAnsi="仿宋" w:eastAsia="仿宋" w:cs="仿宋"/>
                <w:b/>
                <w:bCs/>
                <w:i w:val="0"/>
                <w:iCs w:val="0"/>
                <w:caps w:val="0"/>
                <w:color w:val="0C0C0C"/>
                <w:spacing w:val="0"/>
                <w:kern w:val="0"/>
                <w:sz w:val="21"/>
                <w:szCs w:val="21"/>
                <w:bdr w:val="none" w:color="auto" w:sz="0" w:space="0"/>
                <w:lang w:val="en-US" w:eastAsia="zh-CN" w:bidi="ar"/>
              </w:rPr>
              <w:t>学制</w:t>
            </w:r>
          </w:p>
        </w:tc>
        <w:tc>
          <w:tcPr>
            <w:tcW w:w="283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Style w:val="5"/>
                <w:rFonts w:hint="eastAsia" w:ascii="仿宋" w:hAnsi="仿宋" w:eastAsia="仿宋" w:cs="仿宋"/>
                <w:b/>
                <w:bCs/>
                <w:i w:val="0"/>
                <w:iCs w:val="0"/>
                <w:caps w:val="0"/>
                <w:color w:val="0C0C0C"/>
                <w:spacing w:val="0"/>
                <w:kern w:val="0"/>
                <w:sz w:val="21"/>
                <w:szCs w:val="21"/>
                <w:bdr w:val="none" w:color="auto" w:sz="0" w:space="0"/>
                <w:lang w:val="en-US" w:eastAsia="zh-CN" w:bidi="ar"/>
              </w:rPr>
              <w:t>联合培养学校</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CellMar>
            <w:top w:w="15" w:type="dxa"/>
            <w:left w:w="15" w:type="dxa"/>
            <w:bottom w:w="15" w:type="dxa"/>
            <w:right w:w="15" w:type="dxa"/>
          </w:tblCellMar>
        </w:tblPrEx>
        <w:trPr>
          <w:trHeight w:val="454" w:hRule="atLeast"/>
        </w:trPr>
        <w:tc>
          <w:tcPr>
            <w:tcW w:w="67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1</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中医学</w:t>
            </w:r>
          </w:p>
        </w:tc>
        <w:tc>
          <w:tcPr>
            <w:tcW w:w="22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5年（专升本3年）</w:t>
            </w:r>
          </w:p>
        </w:tc>
        <w:tc>
          <w:tcPr>
            <w:tcW w:w="283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江西中医药高等专科学校</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CellMar>
            <w:top w:w="15" w:type="dxa"/>
            <w:left w:w="15" w:type="dxa"/>
            <w:bottom w:w="15" w:type="dxa"/>
            <w:right w:w="15" w:type="dxa"/>
          </w:tblCellMar>
        </w:tblPrEx>
        <w:trPr>
          <w:trHeight w:val="454" w:hRule="atLeast"/>
        </w:trPr>
        <w:tc>
          <w:tcPr>
            <w:tcW w:w="67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2</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针灸推拿学</w:t>
            </w:r>
          </w:p>
        </w:tc>
        <w:tc>
          <w:tcPr>
            <w:tcW w:w="22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5年（专升本3年）</w:t>
            </w:r>
          </w:p>
        </w:tc>
        <w:tc>
          <w:tcPr>
            <w:tcW w:w="2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i w:val="0"/>
                <w:iCs w:val="0"/>
                <w:caps w:val="0"/>
                <w:color w:val="000000"/>
                <w:spacing w:val="0"/>
                <w:sz w:val="20"/>
                <w:szCs w:val="20"/>
              </w:rPr>
            </w:pP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CellMar>
            <w:top w:w="15" w:type="dxa"/>
            <w:left w:w="15" w:type="dxa"/>
            <w:bottom w:w="15" w:type="dxa"/>
            <w:right w:w="15" w:type="dxa"/>
          </w:tblCellMar>
        </w:tblPrEx>
        <w:trPr>
          <w:trHeight w:val="454" w:hRule="atLeast"/>
        </w:trPr>
        <w:tc>
          <w:tcPr>
            <w:tcW w:w="67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3</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中药学</w:t>
            </w:r>
          </w:p>
        </w:tc>
        <w:tc>
          <w:tcPr>
            <w:tcW w:w="22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4年（专升本2年）</w:t>
            </w:r>
          </w:p>
        </w:tc>
        <w:tc>
          <w:tcPr>
            <w:tcW w:w="2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i w:val="0"/>
                <w:iCs w:val="0"/>
                <w:caps w:val="0"/>
                <w:color w:val="000000"/>
                <w:spacing w:val="0"/>
                <w:sz w:val="20"/>
                <w:szCs w:val="20"/>
              </w:rPr>
            </w:pP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CellMar>
            <w:top w:w="15" w:type="dxa"/>
            <w:left w:w="15" w:type="dxa"/>
            <w:bottom w:w="15" w:type="dxa"/>
            <w:right w:w="15" w:type="dxa"/>
          </w:tblCellMar>
        </w:tblPrEx>
        <w:trPr>
          <w:trHeight w:val="454" w:hRule="atLeast"/>
        </w:trPr>
        <w:tc>
          <w:tcPr>
            <w:tcW w:w="67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4</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护理学</w:t>
            </w:r>
          </w:p>
        </w:tc>
        <w:tc>
          <w:tcPr>
            <w:tcW w:w="22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4年（专升本2年）</w:t>
            </w:r>
          </w:p>
        </w:tc>
        <w:tc>
          <w:tcPr>
            <w:tcW w:w="283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i w:val="0"/>
                <w:iCs w:val="0"/>
                <w:caps w:val="0"/>
                <w:color w:val="000000"/>
                <w:spacing w:val="0"/>
                <w:sz w:val="20"/>
                <w:szCs w:val="20"/>
              </w:rPr>
            </w:pP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CellMar>
            <w:top w:w="15" w:type="dxa"/>
            <w:left w:w="15" w:type="dxa"/>
            <w:bottom w:w="15" w:type="dxa"/>
            <w:right w:w="15" w:type="dxa"/>
          </w:tblCellMar>
        </w:tblPrEx>
        <w:trPr>
          <w:trHeight w:val="454" w:hRule="atLeast"/>
        </w:trPr>
        <w:tc>
          <w:tcPr>
            <w:tcW w:w="67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5</w:t>
            </w:r>
          </w:p>
        </w:tc>
        <w:tc>
          <w:tcPr>
            <w:tcW w:w="16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中药资源与开发</w:t>
            </w:r>
          </w:p>
        </w:tc>
        <w:tc>
          <w:tcPr>
            <w:tcW w:w="22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4年（专升本2年）</w:t>
            </w:r>
          </w:p>
        </w:tc>
        <w:tc>
          <w:tcPr>
            <w:tcW w:w="28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default" w:ascii="Calibri" w:hAnsi="Calibri" w:cs="Calibri"/>
                <w:color w:val="0C0C0C"/>
                <w:sz w:val="21"/>
                <w:szCs w:val="21"/>
              </w:rPr>
            </w:pPr>
            <w:r>
              <w:rPr>
                <w:rFonts w:hint="eastAsia" w:ascii="仿宋" w:hAnsi="仿宋" w:eastAsia="仿宋" w:cs="仿宋"/>
                <w:i w:val="0"/>
                <w:iCs w:val="0"/>
                <w:caps w:val="0"/>
                <w:color w:val="0C0C0C"/>
                <w:spacing w:val="0"/>
                <w:kern w:val="0"/>
                <w:sz w:val="21"/>
                <w:szCs w:val="21"/>
                <w:bdr w:val="none" w:color="auto" w:sz="0" w:space="0"/>
                <w:lang w:val="en-US" w:eastAsia="zh-CN" w:bidi="ar"/>
              </w:rPr>
              <w:t>江西农业工程职业学院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ascii="微软雅黑" w:hAnsi="微软雅黑" w:eastAsia="微软雅黑" w:cs="微软雅黑"/>
          <w:i w:val="0"/>
          <w:iCs w:val="0"/>
          <w:caps w:val="0"/>
          <w:color w:val="0C0C0C"/>
          <w:spacing w:val="0"/>
          <w:sz w:val="22"/>
          <w:szCs w:val="22"/>
        </w:rPr>
      </w:pPr>
      <w:r>
        <w:rPr>
          <w:rFonts w:ascii="黑体" w:hAnsi="宋体" w:eastAsia="黑体" w:cs="黑体"/>
          <w:i w:val="0"/>
          <w:iCs w:val="0"/>
          <w:caps w:val="0"/>
          <w:color w:val="0C0C0C"/>
          <w:spacing w:val="0"/>
          <w:sz w:val="32"/>
          <w:szCs w:val="32"/>
          <w:bdr w:val="none" w:color="auto" w:sz="0" w:space="0"/>
        </w:rPr>
        <w:t>二、培养方式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Calibri" w:hAnsi="Calibri" w:cs="Calibri"/>
          <w:i w:val="0"/>
          <w:iCs w:val="0"/>
          <w:caps w:val="0"/>
          <w:color w:val="0C0C0C"/>
          <w:spacing w:val="0"/>
          <w:sz w:val="21"/>
          <w:szCs w:val="21"/>
        </w:rPr>
      </w:pPr>
      <w:r>
        <w:rPr>
          <w:rFonts w:ascii="仿宋_GB2312" w:hAnsi="Calibri" w:eastAsia="仿宋_GB2312" w:cs="仿宋_GB2312"/>
          <w:i w:val="0"/>
          <w:iCs w:val="0"/>
          <w:caps w:val="0"/>
          <w:color w:val="0C0C0C"/>
          <w:spacing w:val="0"/>
          <w:kern w:val="0"/>
          <w:sz w:val="32"/>
          <w:szCs w:val="32"/>
          <w:bdr w:val="none" w:color="auto" w:sz="0" w:space="0"/>
          <w:lang w:val="en-US" w:eastAsia="zh-CN" w:bidi="ar"/>
        </w:rPr>
        <w:t>我校和以上两所培养学校联合培养专升本学生，完成中药学（</w:t>
      </w: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2年）、中医学（3年）、针灸推拿学（3年）、护理学（2年）、中药资源与开发（2年）专业本科阶段的学习，培养地点在对应培养学校。培养学校在我校的指导下，承担人才培养工作主体责任，严格按照人才培养方案做好人才培养工作，加强日常教育教学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微软雅黑" w:hAnsi="微软雅黑" w:eastAsia="微软雅黑" w:cs="微软雅黑"/>
          <w:i w:val="0"/>
          <w:iCs w:val="0"/>
          <w:caps w:val="0"/>
          <w:color w:val="0C0C0C"/>
          <w:spacing w:val="0"/>
          <w:sz w:val="22"/>
          <w:szCs w:val="22"/>
        </w:rPr>
      </w:pPr>
      <w:r>
        <w:rPr>
          <w:rFonts w:hint="eastAsia" w:ascii="黑体" w:hAnsi="宋体" w:eastAsia="黑体" w:cs="黑体"/>
          <w:i w:val="0"/>
          <w:iCs w:val="0"/>
          <w:caps w:val="0"/>
          <w:color w:val="0C0C0C"/>
          <w:spacing w:val="0"/>
          <w:sz w:val="32"/>
          <w:szCs w:val="32"/>
          <w:bdr w:val="none" w:color="auto" w:sz="0" w:space="0"/>
        </w:rPr>
        <w:t>三、教育教学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1.我校根据人才培养目标与定位，参照专业质量标准，会同培养学校制定人才培养方案，对培养学校的教学过程、教学效果与质量进行指导和督查。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2.培养学校根据双方制订的人才培养方案，选聘优秀教师落实教学任务，编制学期进程表、教师安排、课程表，负责学生毕业实习安排及学生的毕业论文指导。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3.培养学校根据我校的学业评定标准，负责课程的考试、考核、成绩评定和报送工作。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微软雅黑" w:hAnsi="微软雅黑" w:eastAsia="微软雅黑" w:cs="微软雅黑"/>
          <w:i w:val="0"/>
          <w:iCs w:val="0"/>
          <w:caps w:val="0"/>
          <w:color w:val="0C0C0C"/>
          <w:spacing w:val="0"/>
          <w:sz w:val="22"/>
          <w:szCs w:val="22"/>
        </w:rPr>
      </w:pPr>
      <w:r>
        <w:rPr>
          <w:rFonts w:hint="eastAsia" w:ascii="黑体" w:hAnsi="宋体" w:eastAsia="黑体" w:cs="黑体"/>
          <w:i w:val="0"/>
          <w:iCs w:val="0"/>
          <w:caps w:val="0"/>
          <w:color w:val="0C0C0C"/>
          <w:spacing w:val="0"/>
          <w:sz w:val="32"/>
          <w:szCs w:val="32"/>
          <w:bdr w:val="none" w:color="auto" w:sz="0" w:space="0"/>
        </w:rPr>
        <w:t>四、学生管理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1.我校负责联合培养专升本学生在校学习期间的学籍管理，指导培养学校做好学生就读期间学籍管理相关材料的收集工作，培养学校负责学生入学、注册、学习、生活和后勤等日常管理服务工作。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2.培养学校在我校指导下，严格按照教育部和我校的有关规定，做好新生入学报到、入学资格复查、档案管理、毕业生就业派遣等工作。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3.培养学校负责联合培养学生的思想政治教育、党员发展、就业创业帮扶指导等日常教育管理工作。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4.按照国家有关政策和我校有关规定，我校按招生学生人数比例划拨给联合培养学生国家奖学金、国家励志奖学金及国家助学金一定申报名额，培养学校做好国家级学生资助项目的申报组织工作，我校负责“国家三金”校级评审工作及国家资助项目经费管理和资助数据报送工作，指导培养学校做好家庭经济困难学生认定、助学贷款办理、“国家三金”评议推荐、征兵入伍学费补偿、基层就业学费代偿、资助档案建设与管理等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5.联合培养学生在培养学校就读期间同等享受培养学校层面的各项资助政策和待遇。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微软雅黑" w:hAnsi="微软雅黑" w:eastAsia="微软雅黑" w:cs="微软雅黑"/>
          <w:i w:val="0"/>
          <w:iCs w:val="0"/>
          <w:caps w:val="0"/>
          <w:color w:val="0C0C0C"/>
          <w:spacing w:val="0"/>
          <w:sz w:val="22"/>
          <w:szCs w:val="22"/>
        </w:rPr>
      </w:pPr>
      <w:r>
        <w:rPr>
          <w:rFonts w:hint="eastAsia" w:ascii="黑体" w:hAnsi="宋体" w:eastAsia="黑体" w:cs="黑体"/>
          <w:i w:val="0"/>
          <w:iCs w:val="0"/>
          <w:caps w:val="0"/>
          <w:color w:val="0C0C0C"/>
          <w:spacing w:val="0"/>
          <w:sz w:val="32"/>
          <w:szCs w:val="32"/>
          <w:bdr w:val="none" w:color="auto" w:sz="0" w:space="0"/>
        </w:rPr>
        <w:t>五、学籍学历管理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1.联合培养学生录取后，学籍转入我校，单独编班。在校学习期间，学籍管理由我校按照《普通高等学校学生管理规定》执行。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2.联合培养学生按教学计划修完规定课程，成绩合格的，由我校颁发普通高等教育本科毕业证书，毕业证书上标注“在本校XX专业专科起点本科学习”，符合学士学位授予条件的授予相应学士学位。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0C0C0C"/>
          <w:spacing w:val="0"/>
          <w:sz w:val="21"/>
          <w:szCs w:val="21"/>
        </w:rPr>
      </w:pPr>
      <w:r>
        <w:rPr>
          <w:rFonts w:hint="eastAsia" w:ascii="黑体" w:hAnsi="宋体" w:eastAsia="黑体" w:cs="黑体"/>
          <w:i w:val="0"/>
          <w:iCs w:val="0"/>
          <w:caps w:val="0"/>
          <w:color w:val="0C0C0C"/>
          <w:spacing w:val="0"/>
          <w:kern w:val="0"/>
          <w:sz w:val="32"/>
          <w:szCs w:val="32"/>
          <w:bdr w:val="none" w:color="auto" w:sz="0" w:space="0"/>
          <w:lang w:val="en-US" w:eastAsia="zh-CN" w:bidi="ar"/>
        </w:rPr>
        <w:t>六、经费管理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caps w:val="0"/>
          <w:color w:val="0C0C0C"/>
          <w:spacing w:val="0"/>
          <w:sz w:val="21"/>
          <w:szCs w:val="21"/>
        </w:rPr>
      </w:pPr>
      <w:r>
        <w:rPr>
          <w:rFonts w:hint="default" w:ascii="仿宋_GB2312" w:hAnsi="Calibri" w:eastAsia="仿宋_GB2312" w:cs="仿宋_GB2312"/>
          <w:i w:val="0"/>
          <w:iCs w:val="0"/>
          <w:caps w:val="0"/>
          <w:color w:val="0C0C0C"/>
          <w:spacing w:val="0"/>
          <w:kern w:val="0"/>
          <w:sz w:val="32"/>
          <w:szCs w:val="32"/>
          <w:bdr w:val="none" w:color="auto" w:sz="0" w:space="0"/>
          <w:lang w:val="en-US" w:eastAsia="zh-CN" w:bidi="ar"/>
        </w:rPr>
        <w:t>联合培养专升本学生按我校收费标准缴纳学费，住宿费按培养学校标准缴纳。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MzMwOGY3ZGZiMmVhOGVlZTM3OWQ4ZjkwYzc5ZGYifQ=="/>
  </w:docVars>
  <w:rsids>
    <w:rsidRoot w:val="00000000"/>
    <w:rsid w:val="7D1C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2023-03-01T10:15:32Z</dcterms:created>
  <dc:creator>Administrator</dc:creator>
  <cp:lastModifiedBy>勒布朗1230</cp:lastModifiedBy>
  <dcterms:modified xsi:type="dcterms:W3CDTF">2023-03-01T10:16:41Z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948566DBDEF14A4988A2272B2D7A7FF3</vt:lpwstr>
  </property>
</Properties>
</file>